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8ECCA" w14:textId="77777777" w:rsidR="002D0612" w:rsidRPr="00F12333" w:rsidRDefault="00400880" w:rsidP="00F12333">
      <w:pPr>
        <w:jc w:val="center"/>
        <w:rPr>
          <w:sz w:val="36"/>
          <w:szCs w:val="36"/>
        </w:rPr>
      </w:pPr>
      <w:r w:rsidRPr="00F12333">
        <w:rPr>
          <w:sz w:val="36"/>
          <w:szCs w:val="36"/>
        </w:rPr>
        <w:t>The AITSL Standards Ready Reckoner</w:t>
      </w:r>
    </w:p>
    <w:p w14:paraId="665DBED5" w14:textId="77777777" w:rsidR="00400880" w:rsidRPr="00F12333" w:rsidRDefault="00400880">
      <w:pPr>
        <w:rPr>
          <w:rFonts w:asciiTheme="majorHAnsi" w:hAnsiTheme="majorHAnsi"/>
        </w:rPr>
      </w:pPr>
    </w:p>
    <w:p w14:paraId="356EE119" w14:textId="3F175B05" w:rsidR="00400880" w:rsidRPr="00F12333" w:rsidRDefault="00400880">
      <w:pPr>
        <w:rPr>
          <w:rFonts w:asciiTheme="majorHAnsi" w:hAnsiTheme="majorHAnsi"/>
        </w:rPr>
      </w:pPr>
      <w:r w:rsidRPr="00F12333">
        <w:rPr>
          <w:rFonts w:asciiTheme="majorHAnsi" w:hAnsiTheme="majorHAnsi"/>
        </w:rPr>
        <w:t>Use this outline to help you q</w:t>
      </w:r>
      <w:r w:rsidR="00F12333" w:rsidRPr="00F12333">
        <w:rPr>
          <w:rFonts w:asciiTheme="majorHAnsi" w:hAnsiTheme="majorHAnsi"/>
        </w:rPr>
        <w:t>u</w:t>
      </w:r>
      <w:r w:rsidRPr="00F12333">
        <w:rPr>
          <w:rFonts w:asciiTheme="majorHAnsi" w:hAnsiTheme="majorHAnsi"/>
        </w:rPr>
        <w:t>ickly identify which standard your evidence and examples refer to. Use the codes to help with your labeling.</w:t>
      </w:r>
      <w:r w:rsidR="00280936">
        <w:rPr>
          <w:rFonts w:asciiTheme="majorHAnsi" w:hAnsiTheme="majorHAnsi"/>
        </w:rPr>
        <w:t xml:space="preserve"> (</w:t>
      </w:r>
      <w:proofErr w:type="gramStart"/>
      <w:r w:rsidR="00280936">
        <w:rPr>
          <w:rFonts w:asciiTheme="majorHAnsi" w:hAnsiTheme="majorHAnsi"/>
        </w:rPr>
        <w:t>or</w:t>
      </w:r>
      <w:proofErr w:type="gramEnd"/>
      <w:r w:rsidR="00280936">
        <w:rPr>
          <w:rFonts w:asciiTheme="majorHAnsi" w:hAnsiTheme="majorHAnsi"/>
        </w:rPr>
        <w:t xml:space="preserve"> you may wish to make up  your own codes so they are more meaningful to you.</w:t>
      </w:r>
    </w:p>
    <w:p w14:paraId="79BE4F40" w14:textId="77777777" w:rsidR="00400880" w:rsidRDefault="004008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604"/>
      </w:tblGrid>
      <w:tr w:rsidR="00F12333" w14:paraId="26044709" w14:textId="77777777" w:rsidTr="007F1CD2">
        <w:tc>
          <w:tcPr>
            <w:tcW w:w="6912" w:type="dxa"/>
          </w:tcPr>
          <w:p w14:paraId="14F33BEB" w14:textId="77777777" w:rsidR="00F12333" w:rsidRPr="00F12333" w:rsidRDefault="00F12333" w:rsidP="007F1CD2">
            <w:pPr>
              <w:jc w:val="center"/>
              <w:rPr>
                <w:b/>
                <w:bCs/>
                <w:sz w:val="32"/>
                <w:szCs w:val="32"/>
              </w:rPr>
            </w:pPr>
            <w:r w:rsidRPr="00F12333">
              <w:rPr>
                <w:b/>
                <w:bCs/>
                <w:sz w:val="32"/>
                <w:szCs w:val="32"/>
              </w:rPr>
              <w:t>Standard</w:t>
            </w:r>
          </w:p>
        </w:tc>
        <w:tc>
          <w:tcPr>
            <w:tcW w:w="1604" w:type="dxa"/>
          </w:tcPr>
          <w:p w14:paraId="524E6EFA" w14:textId="77777777" w:rsidR="00F12333" w:rsidRPr="00F12333" w:rsidRDefault="00F12333" w:rsidP="007F1CD2">
            <w:pPr>
              <w:jc w:val="center"/>
              <w:rPr>
                <w:b/>
                <w:bCs/>
                <w:sz w:val="32"/>
                <w:szCs w:val="32"/>
              </w:rPr>
            </w:pPr>
            <w:r w:rsidRPr="00F12333">
              <w:rPr>
                <w:b/>
                <w:bCs/>
                <w:sz w:val="32"/>
                <w:szCs w:val="32"/>
              </w:rPr>
              <w:t>Code</w:t>
            </w:r>
          </w:p>
        </w:tc>
      </w:tr>
      <w:tr w:rsidR="00400880" w14:paraId="03D1DE06" w14:textId="77777777" w:rsidTr="00400880">
        <w:tc>
          <w:tcPr>
            <w:tcW w:w="8516" w:type="dxa"/>
            <w:gridSpan w:val="2"/>
          </w:tcPr>
          <w:p w14:paraId="0D25F26C" w14:textId="77777777" w:rsidR="00400880" w:rsidRDefault="00400880" w:rsidP="00F12333">
            <w:pPr>
              <w:jc w:val="center"/>
            </w:pPr>
            <w:r>
              <w:rPr>
                <w:rFonts w:ascii="Times" w:hAnsi="Times" w:cs="Times"/>
                <w:b/>
                <w:bCs/>
                <w:color w:val="0A4C52"/>
                <w:sz w:val="36"/>
                <w:szCs w:val="36"/>
              </w:rPr>
              <w:t>Professional Knowledge</w:t>
            </w:r>
          </w:p>
        </w:tc>
      </w:tr>
      <w:tr w:rsidR="00400880" w14:paraId="05043285" w14:textId="77777777" w:rsidTr="00400880">
        <w:tc>
          <w:tcPr>
            <w:tcW w:w="8516" w:type="dxa"/>
            <w:gridSpan w:val="2"/>
          </w:tcPr>
          <w:p w14:paraId="253F35EB" w14:textId="7D6C03FF" w:rsidR="00400880" w:rsidRPr="007F1CD2" w:rsidRDefault="00400880" w:rsidP="007F1CD2">
            <w:pPr>
              <w:spacing w:line="276" w:lineRule="auto"/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</w:pPr>
            <w:r w:rsidRPr="007F1CD2">
              <w:rPr>
                <w:rFonts w:ascii="Arial" w:hAnsi="Arial" w:cs="Arial"/>
                <w:b/>
                <w:color w:val="E36C0A" w:themeColor="accent6" w:themeShade="BF"/>
                <w:sz w:val="32"/>
                <w:szCs w:val="32"/>
              </w:rPr>
              <w:t>1 Know students and how they learn</w:t>
            </w:r>
          </w:p>
        </w:tc>
      </w:tr>
      <w:tr w:rsidR="00400880" w14:paraId="26E680E3" w14:textId="77777777" w:rsidTr="00400880">
        <w:tc>
          <w:tcPr>
            <w:tcW w:w="6912" w:type="dxa"/>
          </w:tcPr>
          <w:p w14:paraId="0D12C9FF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8"/>
                <w:szCs w:val="28"/>
              </w:rPr>
              <w:t>1.1 Physical, social and intellectual development and characteristics of students</w:t>
            </w:r>
          </w:p>
        </w:tc>
        <w:tc>
          <w:tcPr>
            <w:tcW w:w="1604" w:type="dxa"/>
          </w:tcPr>
          <w:p w14:paraId="24DBFF86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PSI</w:t>
            </w:r>
          </w:p>
        </w:tc>
      </w:tr>
      <w:tr w:rsidR="00400880" w14:paraId="0ACF6E43" w14:textId="77777777" w:rsidTr="00400880">
        <w:tc>
          <w:tcPr>
            <w:tcW w:w="6912" w:type="dxa"/>
          </w:tcPr>
          <w:p w14:paraId="73EB49B2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8"/>
                <w:szCs w:val="28"/>
              </w:rPr>
              <w:t>1.2 Understand how students learn</w:t>
            </w:r>
          </w:p>
        </w:tc>
        <w:tc>
          <w:tcPr>
            <w:tcW w:w="1604" w:type="dxa"/>
          </w:tcPr>
          <w:p w14:paraId="24772B93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Learn</w:t>
            </w:r>
          </w:p>
        </w:tc>
      </w:tr>
      <w:tr w:rsidR="00400880" w14:paraId="2BF9FC26" w14:textId="77777777" w:rsidTr="00400880">
        <w:tc>
          <w:tcPr>
            <w:tcW w:w="6912" w:type="dxa"/>
          </w:tcPr>
          <w:p w14:paraId="52C5BB3C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8"/>
                <w:szCs w:val="28"/>
              </w:rPr>
              <w:t>1.3 Students with diverse linguistic, cultural, religious and socioeconomic backgrounds</w:t>
            </w:r>
          </w:p>
        </w:tc>
        <w:tc>
          <w:tcPr>
            <w:tcW w:w="1604" w:type="dxa"/>
          </w:tcPr>
          <w:p w14:paraId="06ACBDCC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LCR</w:t>
            </w:r>
          </w:p>
        </w:tc>
      </w:tr>
      <w:tr w:rsidR="00400880" w14:paraId="770AC93A" w14:textId="77777777" w:rsidTr="00400880">
        <w:tc>
          <w:tcPr>
            <w:tcW w:w="6912" w:type="dxa"/>
          </w:tcPr>
          <w:p w14:paraId="304B0AC2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8"/>
                <w:szCs w:val="28"/>
              </w:rPr>
              <w:t>1.4 Strategies for teaching Aboriginal and Torres Strait Islander students</w:t>
            </w:r>
          </w:p>
        </w:tc>
        <w:tc>
          <w:tcPr>
            <w:tcW w:w="1604" w:type="dxa"/>
          </w:tcPr>
          <w:p w14:paraId="49E87CDB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ATSI</w:t>
            </w:r>
          </w:p>
        </w:tc>
      </w:tr>
      <w:tr w:rsidR="00400880" w14:paraId="0AAF10EE" w14:textId="77777777" w:rsidTr="00400880">
        <w:tc>
          <w:tcPr>
            <w:tcW w:w="6912" w:type="dxa"/>
          </w:tcPr>
          <w:p w14:paraId="73D6B6F2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8"/>
                <w:szCs w:val="28"/>
              </w:rPr>
              <w:t>1.5 Differentiate teaching to meet the specific learning needs of students across the full range of abilities</w:t>
            </w:r>
          </w:p>
        </w:tc>
        <w:tc>
          <w:tcPr>
            <w:tcW w:w="1604" w:type="dxa"/>
          </w:tcPr>
          <w:p w14:paraId="0F354BF1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DIF</w:t>
            </w:r>
          </w:p>
        </w:tc>
      </w:tr>
      <w:tr w:rsidR="00400880" w14:paraId="0176C640" w14:textId="77777777" w:rsidTr="00400880">
        <w:tc>
          <w:tcPr>
            <w:tcW w:w="6912" w:type="dxa"/>
          </w:tcPr>
          <w:p w14:paraId="79292CA9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 w:cs="Arial"/>
                <w:bCs/>
                <w:color w:val="053133"/>
                <w:sz w:val="28"/>
                <w:szCs w:val="28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8"/>
                <w:szCs w:val="28"/>
              </w:rPr>
              <w:t>1.6 Strategies to support full participation of students with disability</w:t>
            </w:r>
          </w:p>
        </w:tc>
        <w:tc>
          <w:tcPr>
            <w:tcW w:w="1604" w:type="dxa"/>
          </w:tcPr>
          <w:p w14:paraId="3BA3440F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DIS</w:t>
            </w:r>
          </w:p>
        </w:tc>
      </w:tr>
      <w:tr w:rsidR="00400880" w14:paraId="50067C41" w14:textId="77777777" w:rsidTr="00400880">
        <w:tc>
          <w:tcPr>
            <w:tcW w:w="8516" w:type="dxa"/>
            <w:gridSpan w:val="2"/>
          </w:tcPr>
          <w:p w14:paraId="44A02DB6" w14:textId="1AB376F8" w:rsidR="00400880" w:rsidRPr="00F12333" w:rsidRDefault="007F1CD2" w:rsidP="007F1CD2">
            <w:pPr>
              <w:spacing w:line="276" w:lineRule="auto"/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2 </w:t>
            </w:r>
            <w:r w:rsidR="00400880" w:rsidRPr="00F12333"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Know the content and how to teach it</w:t>
            </w:r>
          </w:p>
        </w:tc>
      </w:tr>
      <w:tr w:rsidR="00400880" w14:paraId="1BEF1295" w14:textId="77777777" w:rsidTr="00400880">
        <w:tc>
          <w:tcPr>
            <w:tcW w:w="6912" w:type="dxa"/>
          </w:tcPr>
          <w:p w14:paraId="23D9A674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2.1 Content and teaching strategies of the teaching area</w:t>
            </w:r>
          </w:p>
        </w:tc>
        <w:tc>
          <w:tcPr>
            <w:tcW w:w="1604" w:type="dxa"/>
          </w:tcPr>
          <w:p w14:paraId="6FD365A3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STRA</w:t>
            </w:r>
          </w:p>
        </w:tc>
      </w:tr>
      <w:tr w:rsidR="00400880" w14:paraId="2CFA558C" w14:textId="77777777" w:rsidTr="00400880">
        <w:tc>
          <w:tcPr>
            <w:tcW w:w="6912" w:type="dxa"/>
          </w:tcPr>
          <w:p w14:paraId="3DA8950D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 xml:space="preserve">2.2 Content selection and </w:t>
            </w:r>
            <w:proofErr w:type="spellStart"/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organisation</w:t>
            </w:r>
            <w:proofErr w:type="spellEnd"/>
          </w:p>
        </w:tc>
        <w:tc>
          <w:tcPr>
            <w:tcW w:w="1604" w:type="dxa"/>
          </w:tcPr>
          <w:p w14:paraId="076AF309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CON</w:t>
            </w:r>
          </w:p>
        </w:tc>
      </w:tr>
      <w:tr w:rsidR="00400880" w14:paraId="12129B33" w14:textId="77777777" w:rsidTr="00400880">
        <w:tc>
          <w:tcPr>
            <w:tcW w:w="6912" w:type="dxa"/>
          </w:tcPr>
          <w:p w14:paraId="1AB094F5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2.3 Curriculum, assessment and reporting</w:t>
            </w:r>
          </w:p>
        </w:tc>
        <w:tc>
          <w:tcPr>
            <w:tcW w:w="1604" w:type="dxa"/>
          </w:tcPr>
          <w:p w14:paraId="034F3E38" w14:textId="77777777" w:rsidR="00400880" w:rsidRPr="007F1CD2" w:rsidRDefault="00400880" w:rsidP="007F1CD2">
            <w:pPr>
              <w:jc w:val="center"/>
              <w:rPr>
                <w:b/>
              </w:rPr>
            </w:pPr>
          </w:p>
        </w:tc>
      </w:tr>
      <w:tr w:rsidR="00400880" w14:paraId="37EFE1FA" w14:textId="77777777" w:rsidTr="00400880">
        <w:tc>
          <w:tcPr>
            <w:tcW w:w="6912" w:type="dxa"/>
          </w:tcPr>
          <w:p w14:paraId="6ED8B77D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2.4 Understand and respect Aboriginal and Torres Strait Islander people to promote reconciliation between Indigenous and non-Indigenous Australians</w:t>
            </w:r>
          </w:p>
        </w:tc>
        <w:tc>
          <w:tcPr>
            <w:tcW w:w="1604" w:type="dxa"/>
          </w:tcPr>
          <w:p w14:paraId="0B041D97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ATSI</w:t>
            </w:r>
          </w:p>
        </w:tc>
      </w:tr>
      <w:tr w:rsidR="00400880" w14:paraId="085162D6" w14:textId="77777777" w:rsidTr="00400880">
        <w:tc>
          <w:tcPr>
            <w:tcW w:w="6912" w:type="dxa"/>
          </w:tcPr>
          <w:p w14:paraId="08BD0F89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2.5 Literacy and numeracy strategies</w:t>
            </w:r>
          </w:p>
        </w:tc>
        <w:tc>
          <w:tcPr>
            <w:tcW w:w="1604" w:type="dxa"/>
          </w:tcPr>
          <w:p w14:paraId="5809BAD5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L/N</w:t>
            </w:r>
          </w:p>
        </w:tc>
      </w:tr>
      <w:tr w:rsidR="00400880" w14:paraId="0E443F20" w14:textId="77777777" w:rsidTr="00400880">
        <w:tc>
          <w:tcPr>
            <w:tcW w:w="6912" w:type="dxa"/>
          </w:tcPr>
          <w:p w14:paraId="35495CF9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2.6 Information and Communication Technology (ICT)</w:t>
            </w:r>
          </w:p>
        </w:tc>
        <w:tc>
          <w:tcPr>
            <w:tcW w:w="1604" w:type="dxa"/>
          </w:tcPr>
          <w:p w14:paraId="5A807CE5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ICT</w:t>
            </w:r>
          </w:p>
        </w:tc>
      </w:tr>
    </w:tbl>
    <w:p w14:paraId="6B36719C" w14:textId="77777777" w:rsidR="00F12333" w:rsidRDefault="00F123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604"/>
      </w:tblGrid>
      <w:tr w:rsidR="00400880" w14:paraId="084A64BC" w14:textId="77777777" w:rsidTr="00400880">
        <w:tc>
          <w:tcPr>
            <w:tcW w:w="8516" w:type="dxa"/>
            <w:gridSpan w:val="2"/>
          </w:tcPr>
          <w:p w14:paraId="22B15659" w14:textId="77777777" w:rsidR="00400880" w:rsidRDefault="00400880" w:rsidP="00F12333">
            <w:pPr>
              <w:jc w:val="center"/>
            </w:pPr>
            <w:r>
              <w:rPr>
                <w:rFonts w:ascii="Times" w:hAnsi="Times" w:cs="Times"/>
                <w:b/>
                <w:bCs/>
                <w:color w:val="0A4C52"/>
                <w:sz w:val="36"/>
                <w:szCs w:val="36"/>
              </w:rPr>
              <w:t>Professional Practice</w:t>
            </w:r>
          </w:p>
        </w:tc>
      </w:tr>
      <w:tr w:rsidR="00400880" w14:paraId="13C76B33" w14:textId="77777777" w:rsidTr="00400880">
        <w:tc>
          <w:tcPr>
            <w:tcW w:w="8516" w:type="dxa"/>
            <w:gridSpan w:val="2"/>
          </w:tcPr>
          <w:p w14:paraId="29072FF4" w14:textId="0CF075EC" w:rsidR="00400880" w:rsidRPr="00F12333" w:rsidRDefault="007F1CD2" w:rsidP="007F1CD2">
            <w:pPr>
              <w:spacing w:line="276" w:lineRule="auto"/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3 </w:t>
            </w:r>
            <w:r w:rsidR="00400880" w:rsidRPr="00F12333"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Plan for and implement effective teaching and learnin</w:t>
            </w:r>
            <w:r w:rsidR="00F12333" w:rsidRPr="00F12333"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g</w:t>
            </w:r>
          </w:p>
        </w:tc>
      </w:tr>
      <w:tr w:rsidR="00400880" w14:paraId="1EBF5588" w14:textId="77777777" w:rsidTr="00400880">
        <w:tc>
          <w:tcPr>
            <w:tcW w:w="6912" w:type="dxa"/>
          </w:tcPr>
          <w:p w14:paraId="646848E9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3.1 Establish challenging learning goals</w:t>
            </w:r>
          </w:p>
        </w:tc>
        <w:tc>
          <w:tcPr>
            <w:tcW w:w="1604" w:type="dxa"/>
          </w:tcPr>
          <w:p w14:paraId="0FC1F421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OBJ</w:t>
            </w:r>
          </w:p>
        </w:tc>
      </w:tr>
      <w:tr w:rsidR="00400880" w14:paraId="15621393" w14:textId="77777777" w:rsidTr="00400880">
        <w:tc>
          <w:tcPr>
            <w:tcW w:w="6912" w:type="dxa"/>
          </w:tcPr>
          <w:p w14:paraId="2D40F715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3.2 Plan, structure and sequence learning programs</w:t>
            </w:r>
          </w:p>
        </w:tc>
        <w:tc>
          <w:tcPr>
            <w:tcW w:w="1604" w:type="dxa"/>
          </w:tcPr>
          <w:p w14:paraId="3053AEB5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PROG</w:t>
            </w:r>
          </w:p>
        </w:tc>
      </w:tr>
      <w:tr w:rsidR="00400880" w14:paraId="7F11BDCE" w14:textId="77777777" w:rsidTr="00400880">
        <w:tc>
          <w:tcPr>
            <w:tcW w:w="6912" w:type="dxa"/>
          </w:tcPr>
          <w:p w14:paraId="6E959C42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3.3 Use teaching strategies</w:t>
            </w:r>
          </w:p>
        </w:tc>
        <w:tc>
          <w:tcPr>
            <w:tcW w:w="1604" w:type="dxa"/>
          </w:tcPr>
          <w:p w14:paraId="7C98701B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STRAT</w:t>
            </w:r>
          </w:p>
        </w:tc>
      </w:tr>
      <w:tr w:rsidR="00400880" w14:paraId="04520E4A" w14:textId="77777777" w:rsidTr="00400880">
        <w:tc>
          <w:tcPr>
            <w:tcW w:w="6912" w:type="dxa"/>
          </w:tcPr>
          <w:p w14:paraId="66AB8DBB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3.4 Select and use resources</w:t>
            </w:r>
          </w:p>
        </w:tc>
        <w:tc>
          <w:tcPr>
            <w:tcW w:w="1604" w:type="dxa"/>
          </w:tcPr>
          <w:p w14:paraId="5E692F8D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RES</w:t>
            </w:r>
          </w:p>
        </w:tc>
      </w:tr>
      <w:tr w:rsidR="00400880" w14:paraId="67D8F285" w14:textId="77777777" w:rsidTr="00400880">
        <w:tc>
          <w:tcPr>
            <w:tcW w:w="6912" w:type="dxa"/>
          </w:tcPr>
          <w:p w14:paraId="5AFAED18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3.5 Use effective classroom communication</w:t>
            </w:r>
          </w:p>
        </w:tc>
        <w:tc>
          <w:tcPr>
            <w:tcW w:w="1604" w:type="dxa"/>
          </w:tcPr>
          <w:p w14:paraId="6766A51B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COM</w:t>
            </w:r>
          </w:p>
        </w:tc>
      </w:tr>
      <w:tr w:rsidR="00400880" w14:paraId="42D1A846" w14:textId="77777777" w:rsidTr="00400880">
        <w:tc>
          <w:tcPr>
            <w:tcW w:w="6912" w:type="dxa"/>
          </w:tcPr>
          <w:p w14:paraId="08DCBFDF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3.6 Evaluate and improve teaching programs</w:t>
            </w:r>
          </w:p>
        </w:tc>
        <w:tc>
          <w:tcPr>
            <w:tcW w:w="1604" w:type="dxa"/>
          </w:tcPr>
          <w:p w14:paraId="17B9828A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PROG</w:t>
            </w:r>
          </w:p>
        </w:tc>
      </w:tr>
      <w:tr w:rsidR="00400880" w14:paraId="24CC17EB" w14:textId="77777777" w:rsidTr="00400880">
        <w:tc>
          <w:tcPr>
            <w:tcW w:w="6912" w:type="dxa"/>
          </w:tcPr>
          <w:p w14:paraId="00314B7E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 xml:space="preserve">3.7 Engage parents/ </w:t>
            </w:r>
            <w:proofErr w:type="spellStart"/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carers</w:t>
            </w:r>
            <w:proofErr w:type="spellEnd"/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 xml:space="preserve"> in the educative process</w:t>
            </w:r>
          </w:p>
        </w:tc>
        <w:tc>
          <w:tcPr>
            <w:tcW w:w="1604" w:type="dxa"/>
          </w:tcPr>
          <w:p w14:paraId="7E29CDE0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PAR</w:t>
            </w:r>
          </w:p>
        </w:tc>
      </w:tr>
    </w:tbl>
    <w:p w14:paraId="7E0BAE7F" w14:textId="77777777" w:rsidR="00280936" w:rsidRDefault="002809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604"/>
      </w:tblGrid>
      <w:tr w:rsidR="00400880" w14:paraId="556486A7" w14:textId="77777777" w:rsidTr="00400880">
        <w:tc>
          <w:tcPr>
            <w:tcW w:w="8516" w:type="dxa"/>
            <w:gridSpan w:val="2"/>
          </w:tcPr>
          <w:p w14:paraId="44BE58E1" w14:textId="77777777" w:rsidR="00400880" w:rsidRPr="00F12333" w:rsidRDefault="00400880" w:rsidP="007F1CD2">
            <w:pPr>
              <w:spacing w:line="276" w:lineRule="auto"/>
              <w:rPr>
                <w:color w:val="E36C0A" w:themeColor="accent6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53133"/>
                <w:sz w:val="30"/>
                <w:szCs w:val="30"/>
              </w:rPr>
              <w:t> </w:t>
            </w:r>
            <w:r w:rsidRPr="00F12333"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4 Create and maintain supportive and safe learning environment</w:t>
            </w:r>
          </w:p>
        </w:tc>
      </w:tr>
      <w:tr w:rsidR="00400880" w14:paraId="60FB5395" w14:textId="77777777" w:rsidTr="00400880">
        <w:tc>
          <w:tcPr>
            <w:tcW w:w="6912" w:type="dxa"/>
          </w:tcPr>
          <w:p w14:paraId="0C8EA97C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4.1 Support student participation</w:t>
            </w:r>
          </w:p>
        </w:tc>
        <w:tc>
          <w:tcPr>
            <w:tcW w:w="1604" w:type="dxa"/>
          </w:tcPr>
          <w:p w14:paraId="5808B457" w14:textId="3BFB4C1A" w:rsidR="00400880" w:rsidRPr="007F1CD2" w:rsidRDefault="00280936" w:rsidP="007F1CD2">
            <w:pPr>
              <w:jc w:val="center"/>
              <w:rPr>
                <w:b/>
              </w:rPr>
            </w:pPr>
            <w:r>
              <w:rPr>
                <w:b/>
              </w:rPr>
              <w:t>STRA</w:t>
            </w:r>
          </w:p>
        </w:tc>
      </w:tr>
      <w:tr w:rsidR="00400880" w14:paraId="5C2771AC" w14:textId="77777777" w:rsidTr="00400880">
        <w:tc>
          <w:tcPr>
            <w:tcW w:w="6912" w:type="dxa"/>
          </w:tcPr>
          <w:p w14:paraId="24C25D23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4.2 Manage classroom activities</w:t>
            </w:r>
          </w:p>
        </w:tc>
        <w:tc>
          <w:tcPr>
            <w:tcW w:w="1604" w:type="dxa"/>
          </w:tcPr>
          <w:p w14:paraId="4F7BD1AB" w14:textId="212A8F21" w:rsidR="00400880" w:rsidRPr="007F1CD2" w:rsidRDefault="007F1CD2" w:rsidP="007F1CD2">
            <w:pPr>
              <w:jc w:val="center"/>
              <w:rPr>
                <w:b/>
              </w:rPr>
            </w:pPr>
            <w:r>
              <w:rPr>
                <w:b/>
              </w:rPr>
              <w:t>MANAGE</w:t>
            </w:r>
          </w:p>
        </w:tc>
      </w:tr>
      <w:tr w:rsidR="00400880" w14:paraId="27C53B67" w14:textId="77777777" w:rsidTr="00400880">
        <w:tc>
          <w:tcPr>
            <w:tcW w:w="6912" w:type="dxa"/>
          </w:tcPr>
          <w:p w14:paraId="7040CA8B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 xml:space="preserve">4.3 Manage challenging </w:t>
            </w:r>
            <w:proofErr w:type="spellStart"/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behaviour</w:t>
            </w:r>
            <w:proofErr w:type="spellEnd"/>
          </w:p>
        </w:tc>
        <w:tc>
          <w:tcPr>
            <w:tcW w:w="1604" w:type="dxa"/>
          </w:tcPr>
          <w:p w14:paraId="00A72864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BEHAV</w:t>
            </w:r>
          </w:p>
        </w:tc>
      </w:tr>
      <w:tr w:rsidR="00400880" w14:paraId="7772888A" w14:textId="77777777" w:rsidTr="00400880">
        <w:tc>
          <w:tcPr>
            <w:tcW w:w="6912" w:type="dxa"/>
          </w:tcPr>
          <w:p w14:paraId="5484A54D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4.4 Maintain student safety</w:t>
            </w:r>
          </w:p>
        </w:tc>
        <w:tc>
          <w:tcPr>
            <w:tcW w:w="1604" w:type="dxa"/>
          </w:tcPr>
          <w:p w14:paraId="7FC659DE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SAFE</w:t>
            </w:r>
          </w:p>
        </w:tc>
      </w:tr>
      <w:tr w:rsidR="00400880" w14:paraId="40710DF7" w14:textId="77777777" w:rsidTr="00400880">
        <w:tc>
          <w:tcPr>
            <w:tcW w:w="6912" w:type="dxa"/>
          </w:tcPr>
          <w:p w14:paraId="7FED0FBD" w14:textId="77777777" w:rsidR="00400880" w:rsidRPr="00F12333" w:rsidRDefault="00400880" w:rsidP="00F12333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4.5 Use ICT safely, responsibly and ethically</w:t>
            </w:r>
          </w:p>
        </w:tc>
        <w:tc>
          <w:tcPr>
            <w:tcW w:w="1604" w:type="dxa"/>
          </w:tcPr>
          <w:p w14:paraId="4481BE5F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ICT</w:t>
            </w:r>
          </w:p>
        </w:tc>
      </w:tr>
      <w:tr w:rsidR="00400880" w14:paraId="137AF26E" w14:textId="77777777" w:rsidTr="00400880">
        <w:tc>
          <w:tcPr>
            <w:tcW w:w="6912" w:type="dxa"/>
          </w:tcPr>
          <w:p w14:paraId="4C319333" w14:textId="64BFC2EE" w:rsidR="00400880" w:rsidRPr="00F12333" w:rsidRDefault="007F1CD2" w:rsidP="007F1CD2">
            <w:pPr>
              <w:spacing w:line="276" w:lineRule="auto"/>
              <w:rPr>
                <w:color w:val="E36C0A" w:themeColor="accent6" w:themeShade="BF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5  </w:t>
            </w:r>
            <w:r w:rsidR="00400880" w:rsidRPr="00F12333"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Assess</w:t>
            </w:r>
            <w:proofErr w:type="gramEnd"/>
            <w:r w:rsidR="00400880" w:rsidRPr="00F12333"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, provide feedback and report on student learning</w:t>
            </w:r>
          </w:p>
        </w:tc>
        <w:tc>
          <w:tcPr>
            <w:tcW w:w="1604" w:type="dxa"/>
          </w:tcPr>
          <w:p w14:paraId="24E8D688" w14:textId="77777777" w:rsidR="00400880" w:rsidRDefault="00400880"/>
        </w:tc>
      </w:tr>
      <w:tr w:rsidR="00400880" w14:paraId="0119CF88" w14:textId="77777777" w:rsidTr="00400880">
        <w:tc>
          <w:tcPr>
            <w:tcW w:w="6912" w:type="dxa"/>
          </w:tcPr>
          <w:p w14:paraId="6EB32353" w14:textId="77777777" w:rsidR="00400880" w:rsidRPr="00F12333" w:rsidRDefault="00885D16" w:rsidP="00F12333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5.1 Assess student learning</w:t>
            </w:r>
          </w:p>
        </w:tc>
        <w:tc>
          <w:tcPr>
            <w:tcW w:w="1604" w:type="dxa"/>
          </w:tcPr>
          <w:p w14:paraId="695F1E49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ASSESS</w:t>
            </w:r>
          </w:p>
        </w:tc>
      </w:tr>
      <w:tr w:rsidR="00400880" w14:paraId="754BED35" w14:textId="77777777" w:rsidTr="00400880">
        <w:tc>
          <w:tcPr>
            <w:tcW w:w="6912" w:type="dxa"/>
          </w:tcPr>
          <w:p w14:paraId="563B554B" w14:textId="77777777" w:rsidR="00400880" w:rsidRPr="00F12333" w:rsidRDefault="00885D16" w:rsidP="00F12333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5.2 Provide feedback to students on their learning</w:t>
            </w:r>
          </w:p>
        </w:tc>
        <w:tc>
          <w:tcPr>
            <w:tcW w:w="1604" w:type="dxa"/>
          </w:tcPr>
          <w:p w14:paraId="3D4403A0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F/BACK</w:t>
            </w:r>
          </w:p>
        </w:tc>
      </w:tr>
      <w:tr w:rsidR="00400880" w14:paraId="10C03096" w14:textId="77777777" w:rsidTr="00400880">
        <w:tc>
          <w:tcPr>
            <w:tcW w:w="6912" w:type="dxa"/>
          </w:tcPr>
          <w:p w14:paraId="7CD81385" w14:textId="77777777" w:rsidR="00400880" w:rsidRPr="00F12333" w:rsidRDefault="00885D16" w:rsidP="00F12333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 xml:space="preserve">5.3 Make consistent and comparable </w:t>
            </w:r>
            <w:proofErr w:type="spellStart"/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judgements</w:t>
            </w:r>
            <w:proofErr w:type="spellEnd"/>
          </w:p>
        </w:tc>
        <w:tc>
          <w:tcPr>
            <w:tcW w:w="1604" w:type="dxa"/>
          </w:tcPr>
          <w:p w14:paraId="0871CC88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J/MENTS</w:t>
            </w:r>
          </w:p>
        </w:tc>
      </w:tr>
      <w:tr w:rsidR="00400880" w14:paraId="25337F35" w14:textId="77777777" w:rsidTr="00400880">
        <w:tc>
          <w:tcPr>
            <w:tcW w:w="6912" w:type="dxa"/>
          </w:tcPr>
          <w:p w14:paraId="3814A04B" w14:textId="77777777" w:rsidR="00400880" w:rsidRPr="00F12333" w:rsidRDefault="00885D16" w:rsidP="00F12333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5.4 Interpret student data</w:t>
            </w:r>
          </w:p>
        </w:tc>
        <w:tc>
          <w:tcPr>
            <w:tcW w:w="1604" w:type="dxa"/>
          </w:tcPr>
          <w:p w14:paraId="0A5620C3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DATA</w:t>
            </w:r>
          </w:p>
        </w:tc>
      </w:tr>
      <w:tr w:rsidR="00400880" w14:paraId="07666DB4" w14:textId="77777777" w:rsidTr="00400880">
        <w:tc>
          <w:tcPr>
            <w:tcW w:w="6912" w:type="dxa"/>
          </w:tcPr>
          <w:p w14:paraId="43A3C7BB" w14:textId="77777777" w:rsidR="00400880" w:rsidRPr="00F12333" w:rsidRDefault="00885D16" w:rsidP="00F12333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5.5 Report on student achievement</w:t>
            </w:r>
          </w:p>
        </w:tc>
        <w:tc>
          <w:tcPr>
            <w:tcW w:w="1604" w:type="dxa"/>
          </w:tcPr>
          <w:p w14:paraId="7D32229A" w14:textId="4BFF9E44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REP</w:t>
            </w:r>
            <w:r w:rsidR="007F1CD2">
              <w:rPr>
                <w:b/>
              </w:rPr>
              <w:t>ORT</w:t>
            </w:r>
          </w:p>
        </w:tc>
        <w:bookmarkStart w:id="0" w:name="_GoBack"/>
        <w:bookmarkEnd w:id="0"/>
      </w:tr>
    </w:tbl>
    <w:p w14:paraId="7F8B3A53" w14:textId="77777777" w:rsidR="00F12333" w:rsidRDefault="00F123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604"/>
      </w:tblGrid>
      <w:tr w:rsidR="00400880" w14:paraId="248CC9B6" w14:textId="77777777" w:rsidTr="00400880">
        <w:tc>
          <w:tcPr>
            <w:tcW w:w="6912" w:type="dxa"/>
          </w:tcPr>
          <w:p w14:paraId="1B497B3D" w14:textId="77777777" w:rsidR="00400880" w:rsidRDefault="00885D16" w:rsidP="00F12333">
            <w:pPr>
              <w:jc w:val="center"/>
            </w:pPr>
            <w:r>
              <w:rPr>
                <w:rFonts w:ascii="Times" w:hAnsi="Times" w:cs="Times"/>
                <w:b/>
                <w:bCs/>
                <w:color w:val="0A4C52"/>
                <w:sz w:val="36"/>
                <w:szCs w:val="36"/>
              </w:rPr>
              <w:t>Professional Engagement</w:t>
            </w:r>
          </w:p>
        </w:tc>
        <w:tc>
          <w:tcPr>
            <w:tcW w:w="1604" w:type="dxa"/>
          </w:tcPr>
          <w:p w14:paraId="6D099B04" w14:textId="77777777" w:rsidR="00400880" w:rsidRDefault="00400880"/>
        </w:tc>
      </w:tr>
      <w:tr w:rsidR="00400880" w14:paraId="4F9876EB" w14:textId="77777777" w:rsidTr="00400880">
        <w:tc>
          <w:tcPr>
            <w:tcW w:w="6912" w:type="dxa"/>
          </w:tcPr>
          <w:p w14:paraId="48231C44" w14:textId="1C8685B6" w:rsidR="00400880" w:rsidRPr="00F12333" w:rsidRDefault="007F1CD2" w:rsidP="007F1CD2">
            <w:pPr>
              <w:spacing w:line="276" w:lineRule="auto"/>
              <w:rPr>
                <w:color w:val="E36C0A" w:themeColor="accent6" w:themeShade="BF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6  </w:t>
            </w:r>
            <w:r w:rsidR="00885D16" w:rsidRPr="00F12333"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Engage</w:t>
            </w:r>
            <w:proofErr w:type="gramEnd"/>
            <w:r w:rsidR="00885D16" w:rsidRPr="00F12333"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 xml:space="preserve"> in professional learning</w:t>
            </w:r>
          </w:p>
        </w:tc>
        <w:tc>
          <w:tcPr>
            <w:tcW w:w="1604" w:type="dxa"/>
          </w:tcPr>
          <w:p w14:paraId="06002BAE" w14:textId="77777777" w:rsidR="00400880" w:rsidRDefault="00400880"/>
        </w:tc>
      </w:tr>
      <w:tr w:rsidR="00400880" w14:paraId="7A38C6AC" w14:textId="77777777" w:rsidTr="00400880">
        <w:tc>
          <w:tcPr>
            <w:tcW w:w="6912" w:type="dxa"/>
          </w:tcPr>
          <w:p w14:paraId="271704DE" w14:textId="77777777" w:rsidR="00400880" w:rsidRPr="00F12333" w:rsidRDefault="00885D16" w:rsidP="007F1CD2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6.1 Identify and plan professional learning needs</w:t>
            </w:r>
          </w:p>
        </w:tc>
        <w:tc>
          <w:tcPr>
            <w:tcW w:w="1604" w:type="dxa"/>
          </w:tcPr>
          <w:p w14:paraId="392276EA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PD</w:t>
            </w:r>
          </w:p>
        </w:tc>
      </w:tr>
      <w:tr w:rsidR="00400880" w14:paraId="6D6B79E7" w14:textId="77777777" w:rsidTr="00400880">
        <w:tc>
          <w:tcPr>
            <w:tcW w:w="6912" w:type="dxa"/>
          </w:tcPr>
          <w:p w14:paraId="6F2AA240" w14:textId="77777777" w:rsidR="00400880" w:rsidRPr="00F12333" w:rsidRDefault="00885D16" w:rsidP="007F1CD2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6.2 Engage in professional learning and improve practice</w:t>
            </w:r>
          </w:p>
        </w:tc>
        <w:tc>
          <w:tcPr>
            <w:tcW w:w="1604" w:type="dxa"/>
          </w:tcPr>
          <w:p w14:paraId="519F757F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PD</w:t>
            </w:r>
          </w:p>
        </w:tc>
      </w:tr>
      <w:tr w:rsidR="00400880" w14:paraId="1BDF5888" w14:textId="77777777" w:rsidTr="00400880">
        <w:tc>
          <w:tcPr>
            <w:tcW w:w="6912" w:type="dxa"/>
          </w:tcPr>
          <w:p w14:paraId="4F307AEB" w14:textId="77777777" w:rsidR="00400880" w:rsidRPr="00F12333" w:rsidRDefault="00885D16" w:rsidP="007F1CD2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6.3 Engage with colleagues and improve practice</w:t>
            </w:r>
          </w:p>
        </w:tc>
        <w:tc>
          <w:tcPr>
            <w:tcW w:w="1604" w:type="dxa"/>
          </w:tcPr>
          <w:p w14:paraId="11E867B5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COLL</w:t>
            </w:r>
          </w:p>
        </w:tc>
      </w:tr>
      <w:tr w:rsidR="00400880" w14:paraId="5E6A81EC" w14:textId="77777777" w:rsidTr="00400880">
        <w:tc>
          <w:tcPr>
            <w:tcW w:w="6912" w:type="dxa"/>
          </w:tcPr>
          <w:p w14:paraId="625421B6" w14:textId="77777777" w:rsidR="00400880" w:rsidRPr="00F12333" w:rsidRDefault="00885D16" w:rsidP="007F1CD2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6.4 Apply professional learning and improve student learning</w:t>
            </w:r>
          </w:p>
        </w:tc>
        <w:tc>
          <w:tcPr>
            <w:tcW w:w="1604" w:type="dxa"/>
          </w:tcPr>
          <w:p w14:paraId="509E27D2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PD AP</w:t>
            </w:r>
          </w:p>
        </w:tc>
      </w:tr>
      <w:tr w:rsidR="00400880" w14:paraId="614A8238" w14:textId="77777777" w:rsidTr="00400880">
        <w:tc>
          <w:tcPr>
            <w:tcW w:w="6912" w:type="dxa"/>
          </w:tcPr>
          <w:p w14:paraId="37072462" w14:textId="5CF206E6" w:rsidR="00400880" w:rsidRPr="00F12333" w:rsidRDefault="007F1CD2" w:rsidP="007F1CD2">
            <w:pPr>
              <w:spacing w:line="276" w:lineRule="auto"/>
              <w:rPr>
                <w:color w:val="E36C0A" w:themeColor="accent6" w:themeShade="BF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7  </w:t>
            </w:r>
            <w:r w:rsidR="00885D16" w:rsidRPr="00F12333"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Engage</w:t>
            </w:r>
            <w:proofErr w:type="gramEnd"/>
            <w:r w:rsidR="00885D16" w:rsidRPr="00F12333"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 xml:space="preserve"> professionally with colleagues, parents/</w:t>
            </w:r>
            <w:proofErr w:type="spellStart"/>
            <w:r w:rsidR="00885D16" w:rsidRPr="00F12333"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carers</w:t>
            </w:r>
            <w:proofErr w:type="spellEnd"/>
            <w:r w:rsidR="00885D16" w:rsidRPr="00F12333"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 xml:space="preserve"> and the communit</w:t>
            </w:r>
            <w:r w:rsidR="00F12333" w:rsidRPr="00F12333">
              <w:rPr>
                <w:rFonts w:ascii="Arial" w:hAnsi="Arial" w:cs="Arial"/>
                <w:b/>
                <w:bCs/>
                <w:color w:val="E36C0A" w:themeColor="accent6" w:themeShade="BF"/>
                <w:sz w:val="32"/>
                <w:szCs w:val="32"/>
              </w:rPr>
              <w:t>y</w:t>
            </w:r>
          </w:p>
        </w:tc>
        <w:tc>
          <w:tcPr>
            <w:tcW w:w="1604" w:type="dxa"/>
          </w:tcPr>
          <w:p w14:paraId="280BA1CA" w14:textId="77777777" w:rsidR="00400880" w:rsidRDefault="00400880"/>
        </w:tc>
      </w:tr>
      <w:tr w:rsidR="00400880" w14:paraId="7D391A5A" w14:textId="77777777" w:rsidTr="00400880">
        <w:tc>
          <w:tcPr>
            <w:tcW w:w="6912" w:type="dxa"/>
          </w:tcPr>
          <w:p w14:paraId="02729542" w14:textId="77777777" w:rsidR="00400880" w:rsidRPr="00F12333" w:rsidRDefault="00885D16" w:rsidP="00F12333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7.1 Meet professional ethics and responsibilities</w:t>
            </w:r>
          </w:p>
        </w:tc>
        <w:tc>
          <w:tcPr>
            <w:tcW w:w="1604" w:type="dxa"/>
          </w:tcPr>
          <w:p w14:paraId="00D4C292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ETHICS</w:t>
            </w:r>
          </w:p>
        </w:tc>
      </w:tr>
      <w:tr w:rsidR="00400880" w14:paraId="415B63D8" w14:textId="77777777" w:rsidTr="00400880">
        <w:tc>
          <w:tcPr>
            <w:tcW w:w="6912" w:type="dxa"/>
          </w:tcPr>
          <w:p w14:paraId="12B4F231" w14:textId="77777777" w:rsidR="00400880" w:rsidRPr="00F12333" w:rsidRDefault="00885D16" w:rsidP="00F12333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 xml:space="preserve">7.2 Comply with legislative, administrative and </w:t>
            </w:r>
            <w:proofErr w:type="spellStart"/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organisational</w:t>
            </w:r>
            <w:proofErr w:type="spellEnd"/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 xml:space="preserve"> requirements</w:t>
            </w:r>
          </w:p>
        </w:tc>
        <w:tc>
          <w:tcPr>
            <w:tcW w:w="1604" w:type="dxa"/>
          </w:tcPr>
          <w:p w14:paraId="42BC0011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ADMIN</w:t>
            </w:r>
          </w:p>
        </w:tc>
      </w:tr>
      <w:tr w:rsidR="00400880" w14:paraId="6A5043CC" w14:textId="77777777" w:rsidTr="00400880">
        <w:tc>
          <w:tcPr>
            <w:tcW w:w="6912" w:type="dxa"/>
          </w:tcPr>
          <w:p w14:paraId="6A121CE0" w14:textId="77777777" w:rsidR="00400880" w:rsidRPr="00F12333" w:rsidRDefault="00885D16" w:rsidP="00F12333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7.3 Engage with the parents/</w:t>
            </w:r>
            <w:proofErr w:type="spellStart"/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carers</w:t>
            </w:r>
            <w:proofErr w:type="spellEnd"/>
          </w:p>
        </w:tc>
        <w:tc>
          <w:tcPr>
            <w:tcW w:w="1604" w:type="dxa"/>
          </w:tcPr>
          <w:p w14:paraId="53EA9B2F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PAR</w:t>
            </w:r>
          </w:p>
        </w:tc>
      </w:tr>
      <w:tr w:rsidR="00400880" w14:paraId="0F5D7A29" w14:textId="77777777" w:rsidTr="00400880">
        <w:tc>
          <w:tcPr>
            <w:tcW w:w="6912" w:type="dxa"/>
          </w:tcPr>
          <w:p w14:paraId="2445CE44" w14:textId="77777777" w:rsidR="00400880" w:rsidRPr="00F12333" w:rsidRDefault="00885D16" w:rsidP="00F12333">
            <w:pPr>
              <w:spacing w:line="276" w:lineRule="auto"/>
              <w:rPr>
                <w:rFonts w:asciiTheme="majorHAnsi" w:hAnsiTheme="majorHAnsi"/>
              </w:rPr>
            </w:pPr>
            <w:r w:rsidRPr="00F12333">
              <w:rPr>
                <w:rFonts w:asciiTheme="majorHAnsi" w:hAnsiTheme="majorHAnsi" w:cs="Arial"/>
                <w:bCs/>
                <w:color w:val="053133"/>
                <w:sz w:val="26"/>
                <w:szCs w:val="26"/>
              </w:rPr>
              <w:t>7.4 Engage with professional teaching networks and broader communities</w:t>
            </w:r>
          </w:p>
        </w:tc>
        <w:tc>
          <w:tcPr>
            <w:tcW w:w="1604" w:type="dxa"/>
          </w:tcPr>
          <w:p w14:paraId="2506C26C" w14:textId="77777777" w:rsidR="00400880" w:rsidRPr="007F1CD2" w:rsidRDefault="00F12333" w:rsidP="007F1CD2">
            <w:pPr>
              <w:jc w:val="center"/>
              <w:rPr>
                <w:b/>
              </w:rPr>
            </w:pPr>
            <w:r w:rsidRPr="007F1CD2">
              <w:rPr>
                <w:b/>
              </w:rPr>
              <w:t>COLL</w:t>
            </w:r>
          </w:p>
        </w:tc>
      </w:tr>
      <w:tr w:rsidR="00400880" w14:paraId="15975AD8" w14:textId="77777777" w:rsidTr="00400880">
        <w:tc>
          <w:tcPr>
            <w:tcW w:w="6912" w:type="dxa"/>
          </w:tcPr>
          <w:p w14:paraId="102430F8" w14:textId="77777777" w:rsidR="00400880" w:rsidRDefault="00400880"/>
        </w:tc>
        <w:tc>
          <w:tcPr>
            <w:tcW w:w="1604" w:type="dxa"/>
          </w:tcPr>
          <w:p w14:paraId="577744CD" w14:textId="77777777" w:rsidR="00400880" w:rsidRDefault="00400880"/>
        </w:tc>
      </w:tr>
    </w:tbl>
    <w:p w14:paraId="6A84D94C" w14:textId="77777777" w:rsidR="00400880" w:rsidRDefault="00400880"/>
    <w:sectPr w:rsidR="00400880" w:rsidSect="00F12333">
      <w:pgSz w:w="11900" w:h="16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80"/>
    <w:rsid w:val="00280936"/>
    <w:rsid w:val="002D0612"/>
    <w:rsid w:val="00400880"/>
    <w:rsid w:val="007F1CD2"/>
    <w:rsid w:val="00885D16"/>
    <w:rsid w:val="00B81412"/>
    <w:rsid w:val="00F1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ADF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428</Words>
  <Characters>2445</Characters>
  <Application>Microsoft Macintosh Word</Application>
  <DocSecurity>0</DocSecurity>
  <Lines>20</Lines>
  <Paragraphs>5</Paragraphs>
  <ScaleCrop>false</ScaleCrop>
  <Company>Studyvibe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McIlvenny</dc:creator>
  <cp:keywords/>
  <dc:description/>
  <cp:lastModifiedBy>Leonie McIlvenny</cp:lastModifiedBy>
  <cp:revision>3</cp:revision>
  <dcterms:created xsi:type="dcterms:W3CDTF">2015-03-14T00:15:00Z</dcterms:created>
  <dcterms:modified xsi:type="dcterms:W3CDTF">2015-03-14T00:51:00Z</dcterms:modified>
</cp:coreProperties>
</file>